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C1" w:rsidRDefault="00F41CC1" w:rsidP="00FC6A45">
      <w:pPr>
        <w:pStyle w:val="Textosinformato"/>
        <w:spacing w:line="360" w:lineRule="auto"/>
        <w:ind w:left="142" w:right="566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4"/>
          <w:szCs w:val="24"/>
        </w:rPr>
        <w:t>El Departamento de Ciencia y Tecnología de la Universidad Nacional de Quilmes</w:t>
      </w:r>
      <w:r>
        <w:rPr>
          <w:rFonts w:ascii="Arial" w:hAnsi="Arial" w:cs="Arial"/>
          <w:i/>
          <w:sz w:val="24"/>
          <w:szCs w:val="24"/>
        </w:rPr>
        <w:t xml:space="preserve"> convoca a la inscripción a aspirantes para Auxiliares Académicas/os Alumnas/os en las áreas detalladas, desde </w:t>
      </w:r>
      <w:r>
        <w:rPr>
          <w:rFonts w:ascii="Arial" w:hAnsi="Arial" w:cs="Arial"/>
          <w:sz w:val="24"/>
          <w:szCs w:val="24"/>
        </w:rPr>
        <w:t xml:space="preserve">el 7 de noviembre al 7 de diciembre de 2023 </w:t>
      </w:r>
      <w:r>
        <w:rPr>
          <w:rFonts w:ascii="Arial" w:hAnsi="Arial" w:cs="Arial"/>
          <w:i/>
          <w:sz w:val="24"/>
          <w:szCs w:val="24"/>
        </w:rPr>
        <w:t>hasta las 18 horas.</w:t>
      </w:r>
    </w:p>
    <w:p w:rsidR="00F41CC1" w:rsidRDefault="00F41CC1" w:rsidP="00FC6A45">
      <w:pPr>
        <w:pStyle w:val="Textosinformato"/>
        <w:spacing w:line="360" w:lineRule="auto"/>
        <w:ind w:right="566"/>
        <w:jc w:val="both"/>
        <w:rPr>
          <w:rFonts w:ascii="Arial" w:hAnsi="Arial" w:cs="Arial"/>
          <w:i/>
          <w:sz w:val="24"/>
          <w:szCs w:val="24"/>
        </w:rPr>
      </w:pPr>
    </w:p>
    <w:p w:rsidR="00F41CC1" w:rsidRDefault="00F41CC1" w:rsidP="00FC6A45">
      <w:pPr>
        <w:tabs>
          <w:tab w:val="left" w:pos="1710"/>
        </w:tabs>
        <w:spacing w:line="360" w:lineRule="auto"/>
        <w:ind w:right="566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 xml:space="preserve">Áreas: </w:t>
      </w:r>
      <w:r>
        <w:rPr>
          <w:rFonts w:ascii="Arial" w:hAnsi="Arial" w:cs="Arial"/>
          <w:bCs/>
          <w:i/>
        </w:rPr>
        <w:t xml:space="preserve">Química, Física, Bioquímica, Biología. Matemática Básica. Matemática Superior, Microbiología e Inmunología, Ambiente, </w:t>
      </w:r>
      <w:proofErr w:type="spellStart"/>
      <w:r>
        <w:rPr>
          <w:rFonts w:ascii="Arial" w:hAnsi="Arial" w:cs="Arial"/>
          <w:bCs/>
          <w:i/>
        </w:rPr>
        <w:t>Bioprocesos</w:t>
      </w:r>
      <w:proofErr w:type="spellEnd"/>
      <w:r>
        <w:rPr>
          <w:rFonts w:ascii="Arial" w:hAnsi="Arial" w:cs="Arial"/>
          <w:bCs/>
          <w:i/>
        </w:rPr>
        <w:t xml:space="preserve">, Procesos Industriales, Ciencias Básicas de los Alimentos, Arquitectura y Diseño, Tecnología Naval, Electrónica, Automatización, Control Automático, Programación, Sistemas Informáticos, Procesos Informáticos, Teoría de la Computación, Desarrollo de Software. </w:t>
      </w:r>
    </w:p>
    <w:p w:rsidR="00F41CC1" w:rsidRDefault="00F41CC1" w:rsidP="00FC6A45">
      <w:pPr>
        <w:pStyle w:val="Textosinformato"/>
        <w:spacing w:line="360" w:lineRule="auto"/>
        <w:ind w:right="5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Criterios de evaluación Auxiliares Alumnas/os Departamento de Ciencia y Tecnología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Requisitos de admisibilidad</w:t>
      </w:r>
      <w:r>
        <w:rPr>
          <w:rFonts w:ascii="Arial" w:hAnsi="Arial" w:cs="Arial"/>
        </w:rPr>
        <w:t>: para ser Auxiliares Académicas/os alumnas/os, las/os postulantes deberán tener aprobado al menos el 75% de una carrera de grado relacionada con el área y un promedio no menor a 7 (siete) (Res. CS 328/05). En caso de no haber postulantes que cumplan con dicho requisito, se podrán admitir estudiantes con un avance de al menos el 50%.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Las/os estudiantes de la Tecnicatura Universitaria en Biotecnología, Tecnicatura Universitaria en Tecnología Ambiental y Petroquímica y Tecnicatura Universitaria en Química podrán ser admitidos como auxiliares en las siguientes áreas: Química, Biología, Bioquímica, Ciencias Básicas de los Alimentos, Microbiología e Inmunología y Ambiente. Las/os estudiantes de la Tecnicatura Universitaria en Programación Informática podrán ser admitidos como auxiliares en las siguientes áreas: Programación, Sistemas Informáticos, Desarrollo de Software.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En estos últimos casos, el requisito de admisibilidad para las/os postulantes será que tengan aprobado como mínimo el 50 % de los créditos de las asignaturas del área a la que se postulan, según el plan de estudios de la tecnicatura que cursen.</w:t>
      </w:r>
    </w:p>
    <w:p w:rsidR="008F5469" w:rsidRDefault="008F5469" w:rsidP="00FC6A45">
      <w:pPr>
        <w:spacing w:line="360" w:lineRule="auto"/>
        <w:ind w:right="566"/>
        <w:jc w:val="both"/>
        <w:rPr>
          <w:rFonts w:ascii="Arial" w:hAnsi="Arial" w:cs="Arial"/>
        </w:rPr>
      </w:pP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Puntajes máximos por criterio</w:t>
      </w:r>
    </w:p>
    <w:tbl>
      <w:tblPr>
        <w:tblW w:w="8774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88"/>
        <w:gridCol w:w="4386"/>
      </w:tblGrid>
      <w:tr w:rsidR="00F41CC1" w:rsidTr="008E7812">
        <w:tc>
          <w:tcPr>
            <w:tcW w:w="4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Criterios de Evaluación:</w:t>
            </w:r>
          </w:p>
        </w:tc>
        <w:tc>
          <w:tcPr>
            <w:tcW w:w="4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Puntaje Máximo</w:t>
            </w:r>
          </w:p>
        </w:tc>
      </w:tr>
      <w:tr w:rsidR="00F41CC1" w:rsidTr="008E7812">
        <w:tc>
          <w:tcPr>
            <w:tcW w:w="4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Promedio y Cantidad de asignaturas aprobadas en el área</w:t>
            </w:r>
          </w:p>
        </w:tc>
        <w:tc>
          <w:tcPr>
            <w:tcW w:w="4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30 a 40</w:t>
            </w:r>
          </w:p>
        </w:tc>
      </w:tr>
      <w:tr w:rsidR="00F41CC1" w:rsidTr="008E7812">
        <w:tc>
          <w:tcPr>
            <w:tcW w:w="4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Antecedentes:</w:t>
            </w:r>
            <w:r>
              <w:rPr>
                <w:rFonts w:ascii="Arial" w:hAnsi="Arial" w:cs="Arial"/>
                <w:i/>
              </w:rPr>
              <w:br/>
              <w:t xml:space="preserve">2a.Título Secundario </w:t>
            </w:r>
          </w:p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2b. Antecedentes docentes</w:t>
            </w:r>
          </w:p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2c. Antecedentes de extensión</w:t>
            </w:r>
          </w:p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2d. Antecedentes de investigación</w:t>
            </w:r>
          </w:p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2e. Antecedentes laborales</w:t>
            </w:r>
          </w:p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2f. Otros (becas, premios cursos, etc.)</w:t>
            </w:r>
          </w:p>
        </w:tc>
        <w:tc>
          <w:tcPr>
            <w:tcW w:w="4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30 a 40</w:t>
            </w:r>
          </w:p>
        </w:tc>
      </w:tr>
      <w:tr w:rsidR="00F41CC1" w:rsidTr="008E7812">
        <w:tc>
          <w:tcPr>
            <w:tcW w:w="4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Entrevista personal</w:t>
            </w:r>
          </w:p>
        </w:tc>
        <w:tc>
          <w:tcPr>
            <w:tcW w:w="4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30</w:t>
            </w:r>
          </w:p>
        </w:tc>
      </w:tr>
      <w:tr w:rsidR="00F41CC1" w:rsidTr="008E7812">
        <w:tc>
          <w:tcPr>
            <w:tcW w:w="4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Total</w:t>
            </w:r>
          </w:p>
        </w:tc>
        <w:tc>
          <w:tcPr>
            <w:tcW w:w="4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F41CC1" w:rsidRDefault="00F41CC1" w:rsidP="00FC6A45">
            <w:pPr>
              <w:widowControl w:val="0"/>
              <w:spacing w:line="360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</w:tr>
    </w:tbl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  <w:b/>
        </w:rPr>
      </w:pP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1. Promedio y cantidad de asignaturas aprobadas del área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Se pretende ponderar el desempeño académico del/la postulante en el área de conocimiento al cual se presentó. Se asignará puntaje al promedio y la cantidad relativa de materias del área aprobadas, para asegurar que el postulante posea los conocimientos básicos necesarios para el cargo.</w:t>
      </w:r>
    </w:p>
    <w:p w:rsidR="00983A6C" w:rsidRDefault="00983A6C" w:rsidP="00FC6A45">
      <w:pPr>
        <w:spacing w:line="360" w:lineRule="auto"/>
        <w:ind w:right="566"/>
        <w:jc w:val="both"/>
        <w:rPr>
          <w:rFonts w:ascii="Arial" w:hAnsi="Arial" w:cs="Arial"/>
        </w:rPr>
      </w:pP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2. Antecedentes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2a</w:t>
      </w:r>
      <w:r>
        <w:rPr>
          <w:rFonts w:ascii="Arial" w:hAnsi="Arial" w:cs="Arial"/>
          <w:i/>
        </w:rPr>
        <w:t>. Titulación secundaria y/o pregrado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Se valorará la formación en nivel medio de formación técnica u orientaciones relacionadas con disciplinas científicas y tecnológicas, y la formación de técnicos universitarios.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2b</w:t>
      </w:r>
      <w:r>
        <w:rPr>
          <w:rFonts w:ascii="Arial" w:hAnsi="Arial" w:cs="Arial"/>
          <w:i/>
        </w:rPr>
        <w:t>. Antecedentes docentes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dará máxima puntuación a cargos de auxiliar académica/o universitaria/o 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equivalente, seguido por otros cargos de actividad docente como tutorías académicas. Otros antecedentes que se reconocerán involucran docencia en otros niveles no universitarios (terciario, secundario, primario, institutos oficiales) con puntuaciones parciales.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2c</w:t>
      </w:r>
      <w:r>
        <w:rPr>
          <w:rFonts w:ascii="Arial" w:hAnsi="Arial" w:cs="Arial"/>
          <w:i/>
        </w:rPr>
        <w:t>. Antecedentes en extensión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Se ponderará participación en proyectos de extensión y voluntariado universitario que posean actividades relacionadas con la actividad docente. También se valorará el dictado u organización de actividades de divulgación científica.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2d</w:t>
      </w:r>
      <w:r>
        <w:rPr>
          <w:rFonts w:ascii="Arial" w:hAnsi="Arial" w:cs="Arial"/>
          <w:i/>
        </w:rPr>
        <w:t>. Antecedentes en Investigación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Se ponderará con puntuación máxima la realización de un seminario de Investigación, Trabajo Final o Pasantía Profesional, y puntaje parcial a la participación en proyectos de investigación sin formalización. Dentro de este ítem se valoran además las presentaciones en Congresos, Jornadas o Simposios.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2e</w:t>
      </w:r>
      <w:r>
        <w:rPr>
          <w:rFonts w:ascii="Arial" w:hAnsi="Arial" w:cs="Arial"/>
          <w:i/>
        </w:rPr>
        <w:t>. Antecedentes Laborales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Se dará máxima puntuación a aquellos cargos que posean relación con el ejercicio profesional de carreras científico-tecnológicas, o con su ámbito de conocimiento. Se podrá asignar puntuaciones por cargos temporales o de poca antigüedad.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2f.</w:t>
      </w:r>
      <w:r>
        <w:rPr>
          <w:rFonts w:ascii="Arial" w:hAnsi="Arial" w:cs="Arial"/>
          <w:i/>
        </w:rPr>
        <w:t xml:space="preserve"> Otros antecedentes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reconocerán en éste apartado las becas académicas, de investigación y premios. Asimismo, se otorgará puntaje parcial a cursos extracurriculares relacionados con el desempeño de la docencia y con el área de conocimiento donde se propone. 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  <w:b/>
          <w:i/>
        </w:rPr>
      </w:pP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3. Entrevista personal</w:t>
      </w:r>
    </w:p>
    <w:p w:rsidR="00F41CC1" w:rsidRDefault="00F41CC1" w:rsidP="00FC6A45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Se orientará a reconocer la motivación por la docencia y el trabajo en equipo así como el nivel de conocimiento en temas básicos del área y la capacidad de resolución de problemas simples de carácter práctico o experimental.</w:t>
      </w:r>
    </w:p>
    <w:p w:rsidR="00F41CC1" w:rsidRDefault="00F41CC1" w:rsidP="00FC6A45">
      <w:pPr>
        <w:ind w:right="56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Inscripción:</w:t>
      </w:r>
      <w:r>
        <w:rPr>
          <w:rFonts w:ascii="Arial" w:hAnsi="Arial" w:cs="Arial"/>
        </w:rPr>
        <w:t xml:space="preserve"> Enviar CV y Foja académica a los correos </w:t>
      </w:r>
      <w:proofErr w:type="spellStart"/>
      <w:r>
        <w:rPr>
          <w:rFonts w:ascii="Arial" w:hAnsi="Arial" w:cs="Arial"/>
        </w:rPr>
        <w:t>electrónicos</w:t>
      </w:r>
      <w:proofErr w:type="gramStart"/>
      <w:r>
        <w:rPr>
          <w:rFonts w:ascii="Arial" w:hAnsi="Arial" w:cs="Arial"/>
        </w:rPr>
        <w:t>:</w:t>
      </w:r>
      <w:r>
        <w:rPr>
          <w:rStyle w:val="Hipervnculo"/>
          <w:rFonts w:ascii="Arial" w:hAnsi="Arial" w:cs="Arial"/>
          <w:color w:val="0186BA"/>
        </w:rPr>
        <w:t>s</w:t>
      </w:r>
      <w:proofErr w:type="gramEnd"/>
      <w:hyperlink r:id="rId7" w:tooltip="mailto:Sdomin@unq.edu.ar" w:history="1">
        <w:r>
          <w:rPr>
            <w:rStyle w:val="Hipervnculo"/>
            <w:rFonts w:ascii="Arial" w:hAnsi="Arial" w:cs="Arial"/>
            <w:color w:val="0186BA"/>
          </w:rPr>
          <w:t>domin@unq.edu.ar</w:t>
        </w:r>
        <w:proofErr w:type="spellEnd"/>
      </w:hyperlink>
      <w:r>
        <w:rPr>
          <w:rFonts w:ascii="Arial" w:hAnsi="Arial" w:cs="Arial"/>
        </w:rPr>
        <w:t xml:space="preserve"> y </w:t>
      </w:r>
      <w:hyperlink r:id="rId8" w:tooltip="mailto:dcyt@unq.edu.ar" w:history="1">
        <w:r>
          <w:rPr>
            <w:rStyle w:val="Hipervnculo"/>
            <w:rFonts w:ascii="Arial" w:hAnsi="Arial" w:cs="Arial"/>
            <w:color w:val="0186BA"/>
          </w:rPr>
          <w:t>dcyt@unq.edu.ar</w:t>
        </w:r>
      </w:hyperlink>
      <w:r>
        <w:rPr>
          <w:rFonts w:ascii="Arial" w:hAnsi="Arial" w:cs="Arial"/>
        </w:rPr>
        <w:t>, con copia a las/os coordinadoras/es de cada  área a la cual se postula.</w:t>
      </w:r>
    </w:p>
    <w:p w:rsidR="00F41CC1" w:rsidRDefault="00F41CC1" w:rsidP="00FC6A45">
      <w:pPr>
        <w:ind w:right="566"/>
        <w:rPr>
          <w:rFonts w:ascii="Arial" w:hAnsi="Arial" w:cs="Arial"/>
        </w:rPr>
      </w:pPr>
    </w:p>
    <w:p w:rsidR="00F41CC1" w:rsidRDefault="00F41CC1" w:rsidP="00FC6A45">
      <w:pPr>
        <w:ind w:right="56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Asunto del e-mail: </w:t>
      </w:r>
      <w:r>
        <w:rPr>
          <w:rFonts w:ascii="Arial" w:hAnsi="Arial" w:cs="Arial"/>
          <w:b/>
          <w:bCs/>
        </w:rPr>
        <w:t xml:space="preserve">Convocatoria Auxiliares </w:t>
      </w:r>
    </w:p>
    <w:p w:rsidR="00F41CC1" w:rsidRDefault="00F41CC1" w:rsidP="00FC6A45">
      <w:pPr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Académicxs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APELLIDO_nombre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u w:val="single"/>
        </w:rPr>
        <w:t>Áreas: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highlight w:val="yellow"/>
        </w:rPr>
        <w:t>xxxx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  <w:highlight w:val="yellow"/>
        </w:rPr>
        <w:t>xxxx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máximo dos áreas</w:t>
      </w:r>
      <w:r>
        <w:rPr>
          <w:rFonts w:ascii="Arial" w:hAnsi="Arial" w:cs="Arial"/>
        </w:rPr>
        <w:t>)</w:t>
      </w:r>
    </w:p>
    <w:p w:rsidR="00F41CC1" w:rsidRDefault="00F41CC1" w:rsidP="00FC6A45">
      <w:pPr>
        <w:ind w:right="566"/>
      </w:pPr>
    </w:p>
    <w:p w:rsidR="00AC2F11" w:rsidRDefault="00DF71DF" w:rsidP="00FC6A45">
      <w:pPr>
        <w:ind w:right="566"/>
      </w:pPr>
    </w:p>
    <w:sectPr w:rsidR="00AC2F1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C1" w:rsidRDefault="00F41CC1" w:rsidP="00F41CC1">
      <w:r>
        <w:separator/>
      </w:r>
    </w:p>
  </w:endnote>
  <w:endnote w:type="continuationSeparator" w:id="0">
    <w:p w:rsidR="00F41CC1" w:rsidRDefault="00F41CC1" w:rsidP="00F4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26" w:rsidRDefault="00DF71DF">
    <w:pPr>
      <w:pStyle w:val="Contenidodelatabla"/>
    </w:pPr>
  </w:p>
  <w:p w:rsidR="00003B26" w:rsidRDefault="00DF71DF">
    <w:pPr>
      <w:pStyle w:val="Contenidodelatabl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C1" w:rsidRDefault="00F41CC1" w:rsidP="00F41CC1">
      <w:r>
        <w:separator/>
      </w:r>
    </w:p>
  </w:footnote>
  <w:footnote w:type="continuationSeparator" w:id="0">
    <w:p w:rsidR="00F41CC1" w:rsidRDefault="00F41CC1" w:rsidP="00F4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C1"/>
    <w:rsid w:val="008F5469"/>
    <w:rsid w:val="00983A6C"/>
    <w:rsid w:val="00B17E9E"/>
    <w:rsid w:val="00C4058C"/>
    <w:rsid w:val="00C9435D"/>
    <w:rsid w:val="00DF71DF"/>
    <w:rsid w:val="00F41CC1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41CC1"/>
    <w:rPr>
      <w:rFonts w:ascii="Arial" w:hAnsi="Arial" w:cs="Arial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qFormat/>
    <w:rsid w:val="00F41CC1"/>
    <w:pPr>
      <w:tabs>
        <w:tab w:val="center" w:pos="4252"/>
        <w:tab w:val="right" w:pos="8504"/>
      </w:tabs>
    </w:pPr>
    <w:rPr>
      <w:rFonts w:ascii="Arial" w:eastAsiaTheme="minorHAnsi" w:hAnsi="Arial" w:cs="Arial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F41CC1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sinformato">
    <w:name w:val="Plain Text"/>
    <w:basedOn w:val="Normal"/>
    <w:link w:val="TextosinformatoCar1"/>
    <w:qFormat/>
    <w:rsid w:val="00F41CC1"/>
    <w:rPr>
      <w:rFonts w:ascii="Courier New" w:eastAsiaTheme="minorHAnsi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uiPriority w:val="99"/>
    <w:semiHidden/>
    <w:rsid w:val="00F41CC1"/>
    <w:rPr>
      <w:rFonts w:ascii="Consolas" w:eastAsia="Times New Roman" w:hAnsi="Consolas" w:cs="Consolas"/>
      <w:sz w:val="21"/>
      <w:szCs w:val="21"/>
      <w:lang w:val="es-AR" w:eastAsia="es-AR"/>
    </w:rPr>
  </w:style>
  <w:style w:type="character" w:customStyle="1" w:styleId="TextosinformatoCar1">
    <w:name w:val="Texto sin formato Car1"/>
    <w:basedOn w:val="Fuentedeprrafopredeter"/>
    <w:link w:val="Textosinformato"/>
    <w:qFormat/>
    <w:rsid w:val="00F41CC1"/>
    <w:rPr>
      <w:rFonts w:ascii="Courier New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1"/>
    <w:uiPriority w:val="99"/>
    <w:unhideWhenUsed/>
    <w:qFormat/>
    <w:rsid w:val="00F41CC1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es-ES" w:eastAsia="es-ES"/>
    </w:rPr>
  </w:style>
  <w:style w:type="character" w:customStyle="1" w:styleId="Sangra2detindependienteCar">
    <w:name w:val="Sangría 2 de t. independiente Car"/>
    <w:basedOn w:val="Fuentedeprrafopredeter"/>
    <w:uiPriority w:val="99"/>
    <w:semiHidden/>
    <w:rsid w:val="00F41CC1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qFormat/>
    <w:rsid w:val="00F41CC1"/>
    <w:rPr>
      <w:rFonts w:eastAsiaTheme="minorEastAsia"/>
      <w:sz w:val="24"/>
      <w:lang w:eastAsia="es-ES"/>
    </w:rPr>
  </w:style>
  <w:style w:type="paragraph" w:customStyle="1" w:styleId="Contenidodelatabla">
    <w:name w:val="Contenido de la tabla"/>
    <w:basedOn w:val="Normal"/>
    <w:qFormat/>
    <w:rsid w:val="00F41CC1"/>
    <w:pPr>
      <w:widowControl w:val="0"/>
      <w:suppressLineNumbers/>
      <w:spacing w:line="360" w:lineRule="auto"/>
      <w:jc w:val="center"/>
    </w:pPr>
    <w:rPr>
      <w:rFonts w:ascii="Arial" w:eastAsia="Lucida Sans Unicode" w:hAnsi="Arial" w:cs="Arial"/>
      <w:i/>
      <w:iCs/>
      <w:color w:val="000000"/>
      <w:szCs w:val="22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qFormat/>
    <w:rsid w:val="00F41C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CC1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CC1"/>
    <w:rPr>
      <w:rFonts w:ascii="Tahoma" w:eastAsia="Times New Roman" w:hAnsi="Tahoma" w:cs="Tahoma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41CC1"/>
    <w:rPr>
      <w:rFonts w:ascii="Arial" w:hAnsi="Arial" w:cs="Arial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qFormat/>
    <w:rsid w:val="00F41CC1"/>
    <w:pPr>
      <w:tabs>
        <w:tab w:val="center" w:pos="4252"/>
        <w:tab w:val="right" w:pos="8504"/>
      </w:tabs>
    </w:pPr>
    <w:rPr>
      <w:rFonts w:ascii="Arial" w:eastAsiaTheme="minorHAnsi" w:hAnsi="Arial" w:cs="Arial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F41CC1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sinformato">
    <w:name w:val="Plain Text"/>
    <w:basedOn w:val="Normal"/>
    <w:link w:val="TextosinformatoCar1"/>
    <w:qFormat/>
    <w:rsid w:val="00F41CC1"/>
    <w:rPr>
      <w:rFonts w:ascii="Courier New" w:eastAsiaTheme="minorHAnsi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uiPriority w:val="99"/>
    <w:semiHidden/>
    <w:rsid w:val="00F41CC1"/>
    <w:rPr>
      <w:rFonts w:ascii="Consolas" w:eastAsia="Times New Roman" w:hAnsi="Consolas" w:cs="Consolas"/>
      <w:sz w:val="21"/>
      <w:szCs w:val="21"/>
      <w:lang w:val="es-AR" w:eastAsia="es-AR"/>
    </w:rPr>
  </w:style>
  <w:style w:type="character" w:customStyle="1" w:styleId="TextosinformatoCar1">
    <w:name w:val="Texto sin formato Car1"/>
    <w:basedOn w:val="Fuentedeprrafopredeter"/>
    <w:link w:val="Textosinformato"/>
    <w:qFormat/>
    <w:rsid w:val="00F41CC1"/>
    <w:rPr>
      <w:rFonts w:ascii="Courier New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1"/>
    <w:uiPriority w:val="99"/>
    <w:unhideWhenUsed/>
    <w:qFormat/>
    <w:rsid w:val="00F41CC1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es-ES" w:eastAsia="es-ES"/>
    </w:rPr>
  </w:style>
  <w:style w:type="character" w:customStyle="1" w:styleId="Sangra2detindependienteCar">
    <w:name w:val="Sangría 2 de t. independiente Car"/>
    <w:basedOn w:val="Fuentedeprrafopredeter"/>
    <w:uiPriority w:val="99"/>
    <w:semiHidden/>
    <w:rsid w:val="00F41CC1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qFormat/>
    <w:rsid w:val="00F41CC1"/>
    <w:rPr>
      <w:rFonts w:eastAsiaTheme="minorEastAsia"/>
      <w:sz w:val="24"/>
      <w:lang w:eastAsia="es-ES"/>
    </w:rPr>
  </w:style>
  <w:style w:type="paragraph" w:customStyle="1" w:styleId="Contenidodelatabla">
    <w:name w:val="Contenido de la tabla"/>
    <w:basedOn w:val="Normal"/>
    <w:qFormat/>
    <w:rsid w:val="00F41CC1"/>
    <w:pPr>
      <w:widowControl w:val="0"/>
      <w:suppressLineNumbers/>
      <w:spacing w:line="360" w:lineRule="auto"/>
      <w:jc w:val="center"/>
    </w:pPr>
    <w:rPr>
      <w:rFonts w:ascii="Arial" w:eastAsia="Lucida Sans Unicode" w:hAnsi="Arial" w:cs="Arial"/>
      <w:i/>
      <w:iCs/>
      <w:color w:val="000000"/>
      <w:szCs w:val="22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qFormat/>
    <w:rsid w:val="00F41C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CC1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CC1"/>
    <w:rPr>
      <w:rFonts w:ascii="Tahoma" w:eastAsia="Times New Roman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yt@unq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omin@unq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Dominguez</dc:creator>
  <cp:lastModifiedBy>Silvia Dominguez</cp:lastModifiedBy>
  <cp:revision>3</cp:revision>
  <dcterms:created xsi:type="dcterms:W3CDTF">2023-11-07T17:20:00Z</dcterms:created>
  <dcterms:modified xsi:type="dcterms:W3CDTF">2023-11-07T17:20:00Z</dcterms:modified>
</cp:coreProperties>
</file>